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BCB8" w14:textId="77777777" w:rsidR="00350C06" w:rsidRPr="00350C06" w:rsidRDefault="00350C06" w:rsidP="00350C06">
      <w:pPr>
        <w:shd w:val="clear" w:color="auto" w:fill="FFFFFF"/>
        <w:spacing w:after="100" w:afterAutospacing="1" w:line="240" w:lineRule="auto"/>
        <w:jc w:val="center"/>
        <w:outlineLvl w:val="4"/>
        <w:rPr>
          <w:rFonts w:ascii="iranyekan" w:eastAsia="Times New Roman" w:hAnsi="iranyekan" w:cs="Times New Roman"/>
          <w:b/>
          <w:bCs/>
          <w:color w:val="2C2D30"/>
          <w:kern w:val="0"/>
          <w:sz w:val="36"/>
          <w:szCs w:val="36"/>
          <w14:ligatures w14:val="none"/>
        </w:rPr>
      </w:pPr>
      <w:r w:rsidRPr="00350C06">
        <w:rPr>
          <w:rFonts w:ascii="iranyekan" w:eastAsia="Times New Roman" w:hAnsi="iranyekan" w:cs="Times New Roman"/>
          <w:b/>
          <w:bCs/>
          <w:color w:val="2C2D30"/>
          <w:kern w:val="0"/>
          <w:sz w:val="36"/>
          <w:szCs w:val="36"/>
          <w:rtl/>
          <w14:ligatures w14:val="none"/>
        </w:rPr>
        <w:t xml:space="preserve">مصوبه شماره </w:t>
      </w:r>
      <w:r w:rsidRPr="00350C06">
        <w:rPr>
          <w:rFonts w:ascii="iranyekan" w:eastAsia="Times New Roman" w:hAnsi="iranyekan" w:cs="Times New Roman"/>
          <w:b/>
          <w:bCs/>
          <w:color w:val="2C2D30"/>
          <w:kern w:val="0"/>
          <w:sz w:val="36"/>
          <w:szCs w:val="36"/>
          <w:rtl/>
          <w:lang w:bidi="fa-IR"/>
          <w14:ligatures w14:val="none"/>
        </w:rPr>
        <w:t>۴</w:t>
      </w:r>
      <w:r w:rsidRPr="00350C06">
        <w:rPr>
          <w:rFonts w:ascii="iranyekan" w:eastAsia="Times New Roman" w:hAnsi="iranyekan" w:cs="Times New Roman"/>
          <w:b/>
          <w:bCs/>
          <w:color w:val="2C2D30"/>
          <w:kern w:val="0"/>
          <w:sz w:val="36"/>
          <w:szCs w:val="36"/>
          <w:rtl/>
          <w14:ligatures w14:val="none"/>
        </w:rPr>
        <w:t xml:space="preserve"> جلسه شماره </w:t>
      </w:r>
      <w:r w:rsidRPr="00350C06">
        <w:rPr>
          <w:rFonts w:ascii="iranyekan" w:eastAsia="Times New Roman" w:hAnsi="iranyekan" w:cs="Times New Roman"/>
          <w:b/>
          <w:bCs/>
          <w:color w:val="2C2D30"/>
          <w:kern w:val="0"/>
          <w:sz w:val="36"/>
          <w:szCs w:val="36"/>
          <w:rtl/>
          <w:lang w:bidi="fa-IR"/>
          <w14:ligatures w14:val="none"/>
        </w:rPr>
        <w:t>۳۵۴</w:t>
      </w:r>
      <w:r w:rsidRPr="00350C06">
        <w:rPr>
          <w:rFonts w:ascii="iranyekan" w:eastAsia="Times New Roman" w:hAnsi="iranyekan" w:cs="Times New Roman"/>
          <w:b/>
          <w:bCs/>
          <w:color w:val="2C2D30"/>
          <w:kern w:val="0"/>
          <w:sz w:val="36"/>
          <w:szCs w:val="36"/>
          <w:rtl/>
          <w14:ligatures w14:val="none"/>
        </w:rPr>
        <w:t xml:space="preserve"> مورخ </w:t>
      </w:r>
      <w:r w:rsidRPr="00350C06">
        <w:rPr>
          <w:rFonts w:ascii="iranyekan" w:eastAsia="Times New Roman" w:hAnsi="iranyekan" w:cs="Times New Roman"/>
          <w:b/>
          <w:bCs/>
          <w:color w:val="2C2D30"/>
          <w:kern w:val="0"/>
          <w:sz w:val="36"/>
          <w:szCs w:val="36"/>
          <w:rtl/>
          <w:lang w:bidi="fa-IR"/>
          <w14:ligatures w14:val="none"/>
        </w:rPr>
        <w:t>۱۴۰۳/۲/۲</w:t>
      </w:r>
      <w:r w:rsidRPr="00350C06">
        <w:rPr>
          <w:rFonts w:ascii="iranyekan" w:eastAsia="Times New Roman" w:hAnsi="iranyekan" w:cs="Times New Roman"/>
          <w:b/>
          <w:bCs/>
          <w:color w:val="2C2D30"/>
          <w:kern w:val="0"/>
          <w:sz w:val="36"/>
          <w:szCs w:val="36"/>
          <w:rtl/>
          <w14:ligatures w14:val="none"/>
        </w:rPr>
        <w:t xml:space="preserve"> کمیسیون تنظیم مقررات ارتباطات با موضوع تعرفه و الزامات اجازه عبور زمینی برای نصب داکت/ساب‌داکت/میکروداکت و فیبر نوری و نصب تجهیزات فعال و غیرفعال در محل حفاری در مسیرهای بین شهری</w:t>
      </w:r>
    </w:p>
    <w:p w14:paraId="6EF2A1E7"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6D3A0A8F" w14:textId="77777777" w:rsidR="00350C06" w:rsidRPr="00350C06" w:rsidRDefault="00350C06" w:rsidP="00350C06">
      <w:pPr>
        <w:shd w:val="clear" w:color="auto" w:fill="FFFFFF"/>
        <w:spacing w:after="0" w:line="240" w:lineRule="auto"/>
        <w:ind w:left="720"/>
        <w:rPr>
          <w:rFonts w:ascii="iranyekan" w:eastAsia="Times New Roman" w:hAnsi="iranyekan" w:cs="Times New Roman"/>
          <w:color w:val="212529"/>
          <w:kern w:val="0"/>
          <w14:ligatures w14:val="none"/>
        </w:rPr>
      </w:pPr>
      <w:r w:rsidRPr="00350C06">
        <w:rPr>
          <w:rFonts w:ascii="iranyekan" w:eastAsia="Times New Roman" w:hAnsi="iranyekan" w:cs="Times New Roman"/>
          <w:color w:val="212529"/>
          <w:kern w:val="0"/>
          <w14:ligatures w14:val="none"/>
        </w:rPr>
        <w:t> </w:t>
      </w:r>
    </w:p>
    <w:p w14:paraId="66B402AA"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22D71132" w14:textId="77777777" w:rsidR="00350C06" w:rsidRPr="00350C06" w:rsidRDefault="00350C06" w:rsidP="00350C06">
      <w:pPr>
        <w:shd w:val="clear" w:color="auto" w:fill="FFFFFF"/>
        <w:spacing w:after="0" w:line="240" w:lineRule="auto"/>
        <w:ind w:left="720"/>
        <w:rPr>
          <w:rFonts w:ascii="iranyekan" w:eastAsia="Times New Roman" w:hAnsi="iranyekan" w:cs="Times New Roman"/>
          <w:color w:val="212529"/>
          <w:kern w:val="0"/>
          <w14:ligatures w14:val="none"/>
        </w:rPr>
      </w:pPr>
      <w:r w:rsidRPr="00350C06">
        <w:rPr>
          <w:rFonts w:ascii="iranyekan" w:eastAsia="Times New Roman" w:hAnsi="iranyekan" w:cs="Times New Roman"/>
          <w:color w:val="212529"/>
          <w:kern w:val="0"/>
          <w14:ligatures w14:val="none"/>
        </w:rPr>
        <w:t> </w:t>
      </w:r>
    </w:p>
    <w:p w14:paraId="2FBB720C"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451309C1" w14:textId="77777777" w:rsidR="00350C06" w:rsidRPr="00350C06" w:rsidRDefault="00350C06" w:rsidP="00350C06">
      <w:pPr>
        <w:shd w:val="clear" w:color="auto" w:fill="FFFFFF"/>
        <w:spacing w:after="0" w:line="240" w:lineRule="auto"/>
        <w:ind w:left="720"/>
        <w:rPr>
          <w:rFonts w:ascii="iranyekan" w:eastAsia="Times New Roman" w:hAnsi="iranyekan" w:cs="Times New Roman"/>
          <w:color w:val="212529"/>
          <w:kern w:val="0"/>
          <w14:ligatures w14:val="none"/>
        </w:rPr>
      </w:pPr>
      <w:r w:rsidRPr="00350C06">
        <w:rPr>
          <w:rFonts w:ascii="iranyekan" w:eastAsia="Times New Roman" w:hAnsi="iranyekan" w:cs="Times New Roman"/>
          <w:color w:val="212529"/>
          <w:kern w:val="0"/>
          <w14:ligatures w14:val="none"/>
        </w:rPr>
        <w:t> </w:t>
      </w:r>
    </w:p>
    <w:p w14:paraId="066A1153"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2E275952" w14:textId="77777777" w:rsidR="00350C06" w:rsidRPr="00350C06" w:rsidRDefault="00350C06" w:rsidP="00350C06">
      <w:pPr>
        <w:shd w:val="clear" w:color="auto" w:fill="FFFFFF"/>
        <w:spacing w:after="0" w:line="240" w:lineRule="auto"/>
        <w:ind w:left="720"/>
        <w:rPr>
          <w:rFonts w:ascii="iranyekan" w:eastAsia="Times New Roman" w:hAnsi="iranyekan" w:cs="Times New Roman"/>
          <w:color w:val="212529"/>
          <w:kern w:val="0"/>
          <w14:ligatures w14:val="none"/>
        </w:rPr>
      </w:pPr>
      <w:r w:rsidRPr="00350C06">
        <w:rPr>
          <w:rFonts w:ascii="iranyekan" w:eastAsia="Times New Roman" w:hAnsi="iranyekan" w:cs="Times New Roman"/>
          <w:color w:val="212529"/>
          <w:kern w:val="0"/>
          <w14:ligatures w14:val="none"/>
        </w:rPr>
        <w:t> </w:t>
      </w:r>
    </w:p>
    <w:p w14:paraId="369A7329"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5E40B399" w14:textId="77777777" w:rsidR="00350C06" w:rsidRPr="00350C06" w:rsidRDefault="00350C06" w:rsidP="00350C06">
      <w:pPr>
        <w:shd w:val="clear" w:color="auto" w:fill="FFFFFF"/>
        <w:spacing w:after="0" w:line="240" w:lineRule="auto"/>
        <w:ind w:left="720"/>
        <w:rPr>
          <w:rFonts w:ascii="iranyekan" w:eastAsia="Times New Roman" w:hAnsi="iranyekan" w:cs="Times New Roman"/>
          <w:color w:val="212529"/>
          <w:kern w:val="0"/>
          <w14:ligatures w14:val="none"/>
        </w:rPr>
      </w:pPr>
      <w:r w:rsidRPr="00350C06">
        <w:rPr>
          <w:rFonts w:ascii="iranyekan" w:eastAsia="Times New Roman" w:hAnsi="iranyekan" w:cs="Times New Roman"/>
          <w:color w:val="212529"/>
          <w:kern w:val="0"/>
          <w14:ligatures w14:val="none"/>
        </w:rPr>
        <w:t> </w:t>
      </w:r>
    </w:p>
    <w:p w14:paraId="7336EE43" w14:textId="77777777" w:rsidR="00350C06" w:rsidRPr="00350C06" w:rsidRDefault="00350C06" w:rsidP="00350C06">
      <w:pPr>
        <w:numPr>
          <w:ilvl w:val="0"/>
          <w:numId w:val="1"/>
        </w:num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line="240" w:lineRule="auto"/>
        <w:jc w:val="center"/>
        <w:rPr>
          <w:rFonts w:ascii="iranyekan" w:eastAsia="Times New Roman" w:hAnsi="iranyekan" w:cs="Times New Roman"/>
          <w:color w:val="212529"/>
          <w:kern w:val="0"/>
          <w:sz w:val="30"/>
          <w:szCs w:val="30"/>
          <w14:ligatures w14:val="none"/>
        </w:rPr>
      </w:pPr>
    </w:p>
    <w:p w14:paraId="1D5F7FF2" w14:textId="77777777" w:rsidR="00350C06" w:rsidRPr="00350C06" w:rsidRDefault="00350C06" w:rsidP="00350C06">
      <w:pPr>
        <w:shd w:val="clear" w:color="auto" w:fill="FFFFFF"/>
        <w:bidi/>
        <w:spacing w:after="100" w:afterAutospacing="1" w:line="435" w:lineRule="atLeast"/>
        <w:jc w:val="center"/>
        <w:rPr>
          <w:rFonts w:ascii="iranyekan" w:eastAsia="Times New Roman" w:hAnsi="iranyekan" w:cs="Times New Roman"/>
          <w:color w:val="2C2D30"/>
          <w:kern w:val="0"/>
          <w:sz w:val="23"/>
          <w:szCs w:val="23"/>
          <w14:ligatures w14:val="none"/>
        </w:rPr>
      </w:pPr>
      <w:r w:rsidRPr="00350C06">
        <w:rPr>
          <w:rFonts w:ascii="iranyekan" w:eastAsia="Times New Roman" w:hAnsi="iranyekan" w:cs="Times New Roman"/>
          <w:b/>
          <w:bCs/>
          <w:color w:val="2C2D30"/>
          <w:kern w:val="0"/>
          <w:sz w:val="23"/>
          <w:szCs w:val="23"/>
          <w:rtl/>
          <w14:ligatures w14:val="none"/>
        </w:rPr>
        <w:t xml:space="preserve">شماره </w:t>
      </w:r>
      <w:r w:rsidRPr="00350C06">
        <w:rPr>
          <w:rFonts w:ascii="iranyekan" w:eastAsia="Times New Roman" w:hAnsi="iranyekan" w:cs="Times New Roman"/>
          <w:b/>
          <w:bCs/>
          <w:color w:val="2C2D30"/>
          <w:kern w:val="0"/>
          <w:sz w:val="23"/>
          <w:szCs w:val="23"/>
          <w:rtl/>
          <w:lang w:bidi="fa-IR"/>
          <w14:ligatures w14:val="none"/>
        </w:rPr>
        <w:t>۱۰۰/۱۲۲۳۶                                                            ۱۴۰۳/۳/۱</w:t>
      </w:r>
    </w:p>
    <w:p w14:paraId="73BC2746"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 xml:space="preserve">کمیسیون تنظیم مقررات ارتباطات در جلسه شماره </w:t>
      </w:r>
      <w:r w:rsidRPr="00350C06">
        <w:rPr>
          <w:rFonts w:ascii="iranyekan" w:eastAsia="Times New Roman" w:hAnsi="iranyekan" w:cs="Times New Roman"/>
          <w:color w:val="2C2D30"/>
          <w:kern w:val="0"/>
          <w:sz w:val="23"/>
          <w:szCs w:val="23"/>
          <w:rtl/>
          <w:lang w:bidi="fa-IR"/>
          <w14:ligatures w14:val="none"/>
        </w:rPr>
        <w:t>۳۵۴</w:t>
      </w:r>
      <w:r w:rsidRPr="00350C06">
        <w:rPr>
          <w:rFonts w:ascii="iranyekan" w:eastAsia="Times New Roman" w:hAnsi="iranyekan" w:cs="Times New Roman"/>
          <w:color w:val="2C2D30"/>
          <w:kern w:val="0"/>
          <w:sz w:val="23"/>
          <w:szCs w:val="23"/>
          <w:rtl/>
          <w14:ligatures w14:val="none"/>
        </w:rPr>
        <w:t xml:space="preserve"> مورخ </w:t>
      </w:r>
      <w:r w:rsidRPr="00350C06">
        <w:rPr>
          <w:rFonts w:ascii="iranyekan" w:eastAsia="Times New Roman" w:hAnsi="iranyekan" w:cs="Times New Roman"/>
          <w:color w:val="2C2D30"/>
          <w:kern w:val="0"/>
          <w:sz w:val="23"/>
          <w:szCs w:val="23"/>
          <w:rtl/>
          <w:lang w:bidi="fa-IR"/>
          <w14:ligatures w14:val="none"/>
        </w:rPr>
        <w:t>۱۴۰۳/۲/۲</w:t>
      </w:r>
      <w:r w:rsidRPr="00350C06">
        <w:rPr>
          <w:rFonts w:ascii="iranyekan" w:eastAsia="Times New Roman" w:hAnsi="iranyekan" w:cs="Times New Roman"/>
          <w:color w:val="2C2D30"/>
          <w:kern w:val="0"/>
          <w:sz w:val="23"/>
          <w:szCs w:val="23"/>
          <w:rtl/>
          <w14:ligatures w14:val="none"/>
        </w:rPr>
        <w:t xml:space="preserve"> در راستای ماده </w:t>
      </w:r>
      <w:r w:rsidRPr="00350C06">
        <w:rPr>
          <w:rFonts w:ascii="iranyekan" w:eastAsia="Times New Roman" w:hAnsi="iranyekan" w:cs="Times New Roman"/>
          <w:color w:val="2C2D30"/>
          <w:kern w:val="0"/>
          <w:sz w:val="23"/>
          <w:szCs w:val="23"/>
          <w:rtl/>
          <w:lang w:bidi="fa-IR"/>
          <w14:ligatures w14:val="none"/>
        </w:rPr>
        <w:t>۵</w:t>
      </w:r>
      <w:r w:rsidRPr="00350C06">
        <w:rPr>
          <w:rFonts w:ascii="iranyekan" w:eastAsia="Times New Roman" w:hAnsi="iranyekan" w:cs="Times New Roman"/>
          <w:color w:val="2C2D30"/>
          <w:kern w:val="0"/>
          <w:sz w:val="23"/>
          <w:szCs w:val="23"/>
          <w:rtl/>
          <w14:ligatures w14:val="none"/>
        </w:rPr>
        <w:t xml:space="preserve"> قانون وظایف و اختیارات وزارت ارتباطات و فناوری اطلاعات و به منظور تسریع و تسهیل هزینه‌های سرمایه‌گذاری ایجاد و توسعه زیرساخت‌های شبکه فیبر نوری و بهره‌ گیری از ظرفیت بند (پ) تبصره</w:t>
      </w:r>
      <w:r w:rsidRPr="00350C06">
        <w:rPr>
          <w:rFonts w:ascii="iranyekan" w:eastAsia="Times New Roman" w:hAnsi="iranyekan" w:cs="Times New Roman"/>
          <w:color w:val="2C2D30"/>
          <w:kern w:val="0"/>
          <w:sz w:val="23"/>
          <w:szCs w:val="23"/>
          <w:rtl/>
          <w:lang w:bidi="fa-IR"/>
          <w14:ligatures w14:val="none"/>
        </w:rPr>
        <w:t>۱۱</w:t>
      </w:r>
      <w:r w:rsidRPr="00350C06">
        <w:rPr>
          <w:rFonts w:ascii="iranyekan" w:eastAsia="Times New Roman" w:hAnsi="iranyekan" w:cs="Times New Roman"/>
          <w:color w:val="2C2D30"/>
          <w:kern w:val="0"/>
          <w:sz w:val="23"/>
          <w:szCs w:val="23"/>
          <w:rtl/>
          <w14:ligatures w14:val="none"/>
        </w:rPr>
        <w:t xml:space="preserve"> قانون بودجه سال </w:t>
      </w:r>
      <w:r w:rsidRPr="00350C06">
        <w:rPr>
          <w:rFonts w:ascii="iranyekan" w:eastAsia="Times New Roman" w:hAnsi="iranyekan" w:cs="Times New Roman"/>
          <w:color w:val="2C2D30"/>
          <w:kern w:val="0"/>
          <w:sz w:val="23"/>
          <w:szCs w:val="23"/>
          <w:rtl/>
          <w:lang w:bidi="fa-IR"/>
          <w14:ligatures w14:val="none"/>
        </w:rPr>
        <w:t>۱۴۰۳</w:t>
      </w:r>
      <w:r w:rsidRPr="00350C06">
        <w:rPr>
          <w:rFonts w:ascii="iranyekan" w:eastAsia="Times New Roman" w:hAnsi="iranyekan" w:cs="Times New Roman"/>
          <w:color w:val="2C2D30"/>
          <w:kern w:val="0"/>
          <w:sz w:val="23"/>
          <w:szCs w:val="23"/>
          <w:rtl/>
          <w14:ligatures w14:val="none"/>
        </w:rPr>
        <w:t xml:space="preserve"> کشور، " تعرفه و الزامات اجازه عبور زمینی برای نصب داکت/ساب‌‌داکت/میکروداکت و فیبرنوری و نصب تجهیزات فعال و غیر فعال در محل حفاری در مسیرهای بین‌ شهری " را به شرح زیر تصویب کرد:</w:t>
      </w:r>
    </w:p>
    <w:p w14:paraId="143BA9C2"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«تعرفه و الزامات اجازه عبور زمینی برای نصب داکت/ساب‌‌داکت/میکروداکت و فیبرنوری و نصب تجهیزات فعال و غیر فعال در محل حفاری در مسیرهای بین‌شهری»</w:t>
      </w:r>
    </w:p>
    <w:p w14:paraId="4FEC3EBC"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lastRenderedPageBreak/>
        <w:t>ماده</w:t>
      </w: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 تعاریف</w:t>
      </w:r>
    </w:p>
    <w:p w14:paraId="352F822C"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 کمیسیون: کمیسیون تنظیم مقررات ارتباطات؛</w:t>
      </w:r>
    </w:p>
    <w:p w14:paraId="7AA19D95"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 سازمان: سازمان تنظیم مقررات و ارتباطات رادیویی؛</w:t>
      </w:r>
    </w:p>
    <w:p w14:paraId="252767E6"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 ارایه‌کننده خدمت: وزارت راه و شهرسازی؛</w:t>
      </w:r>
    </w:p>
    <w:p w14:paraId="73C9A550"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۴</w:t>
      </w:r>
      <w:r w:rsidRPr="00350C06">
        <w:rPr>
          <w:rFonts w:ascii="iranyekan" w:eastAsia="Times New Roman" w:hAnsi="iranyekan" w:cs="Times New Roman"/>
          <w:color w:val="2C2D30"/>
          <w:kern w:val="0"/>
          <w:sz w:val="23"/>
          <w:szCs w:val="23"/>
          <w:rtl/>
          <w14:ligatures w14:val="none"/>
        </w:rPr>
        <w:t>ـ کارور: دارندگان پروانه یکپارچه شبکه و خدمات ارتباطی؛</w:t>
      </w:r>
    </w:p>
    <w:p w14:paraId="19D7E833"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 xml:space="preserve">ـ </w:t>
      </w:r>
      <w:r w:rsidRPr="00350C06">
        <w:rPr>
          <w:rFonts w:ascii="iranyekan" w:eastAsia="Times New Roman" w:hAnsi="iranyekan" w:cs="Times New Roman"/>
          <w:color w:val="2C2D30"/>
          <w:kern w:val="0"/>
          <w:sz w:val="23"/>
          <w:szCs w:val="23"/>
          <w:rtl/>
          <w:lang w:bidi="fa-IR"/>
          <w14:ligatures w14:val="none"/>
        </w:rPr>
        <w:t>۵</w:t>
      </w:r>
      <w:r w:rsidRPr="00350C06">
        <w:rPr>
          <w:rFonts w:ascii="iranyekan" w:eastAsia="Times New Roman" w:hAnsi="iranyekan" w:cs="Times New Roman"/>
          <w:color w:val="2C2D30"/>
          <w:kern w:val="0"/>
          <w:sz w:val="23"/>
          <w:szCs w:val="23"/>
          <w:rtl/>
          <w14:ligatures w14:val="none"/>
        </w:rPr>
        <w:t xml:space="preserve"> ـ اجازه عبور زمینی: مجوز حفاری و استفاده از مسیرهای زمینی و زیرزمینی بین‌شهری برای نصب داکت/ ساب‌‌داکت/ میکروداکت و فیبرنوری و تجهیزات فعال و غیرفعال که شامل ترمیم معبر یا محل حفاری است؛</w:t>
      </w:r>
    </w:p>
    <w:p w14:paraId="0AF3A301"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۶</w:t>
      </w:r>
      <w:r w:rsidRPr="00350C06">
        <w:rPr>
          <w:rFonts w:ascii="iranyekan" w:eastAsia="Times New Roman" w:hAnsi="iranyekan" w:cs="Times New Roman"/>
          <w:color w:val="2C2D30"/>
          <w:kern w:val="0"/>
          <w:sz w:val="23"/>
          <w:szCs w:val="23"/>
          <w:rtl/>
          <w14:ligatures w14:val="none"/>
        </w:rPr>
        <w:t xml:space="preserve"> ـ راه: انواع راه ها اعم از آزادراه، راه اصلی چهار خطه (بزرگراه)، راه اصلی و راه فرعی و انواع آن .</w:t>
      </w:r>
    </w:p>
    <w:p w14:paraId="3FC112DD"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ماده</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 تعرفه اجازه عبور زمینی</w:t>
      </w:r>
    </w:p>
    <w:p w14:paraId="6CFD7648"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 xml:space="preserve">ـ سقف تعرفه اجازه عبور زمینی برای کلیه راه‌های بین‌شهری از محور راه به هر طرف بر بستر اصلی راه (آسفالت) تا شانه راه به ازای هر متر </w:t>
      </w:r>
      <w:r w:rsidRPr="00350C06">
        <w:rPr>
          <w:rFonts w:ascii="iranyekan" w:eastAsia="Times New Roman" w:hAnsi="iranyekan" w:cs="Times New Roman"/>
          <w:color w:val="2C2D30"/>
          <w:kern w:val="0"/>
          <w:sz w:val="23"/>
          <w:szCs w:val="23"/>
          <w:rtl/>
          <w:lang w:bidi="fa-IR"/>
          <w14:ligatures w14:val="none"/>
        </w:rPr>
        <w:t>۲۵۰,۰۰۰</w:t>
      </w:r>
      <w:r w:rsidRPr="00350C06">
        <w:rPr>
          <w:rFonts w:ascii="iranyekan" w:eastAsia="Times New Roman" w:hAnsi="iranyekan" w:cs="Times New Roman"/>
          <w:color w:val="2C2D30"/>
          <w:kern w:val="0"/>
          <w:sz w:val="23"/>
          <w:szCs w:val="23"/>
          <w:rtl/>
          <w14:ligatures w14:val="none"/>
        </w:rPr>
        <w:t xml:space="preserve"> ریال تعیین می‌شود:</w:t>
      </w:r>
    </w:p>
    <w:p w14:paraId="52AFABBB"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تبصره</w:t>
      </w:r>
      <w:r w:rsidRPr="00350C06">
        <w:rPr>
          <w:rFonts w:ascii="iranyekan" w:eastAsia="Times New Roman" w:hAnsi="iranyekan" w:cs="Times New Roman"/>
          <w:color w:val="2C2D30"/>
          <w:kern w:val="0"/>
          <w:sz w:val="23"/>
          <w:szCs w:val="23"/>
          <w:rtl/>
          <w:lang w:bidi="fa-IR"/>
          <w14:ligatures w14:val="none"/>
        </w:rPr>
        <w:t xml:space="preserve">۱: </w:t>
      </w:r>
      <w:r w:rsidRPr="00350C06">
        <w:rPr>
          <w:rFonts w:ascii="iranyekan" w:eastAsia="Times New Roman" w:hAnsi="iranyekan" w:cs="Times New Roman"/>
          <w:color w:val="2C2D30"/>
          <w:kern w:val="0"/>
          <w:sz w:val="23"/>
          <w:szCs w:val="23"/>
          <w:rtl/>
          <w14:ligatures w14:val="none"/>
        </w:rPr>
        <w:t>درصورتی که امکان عبور زمینی از محور راه به هر طرف بر بستر اصلی راه (آسفالت) وجود نداشته باشد، حفاری باید در شانه راه انجام شود که در این صورت تعرفه آن به ازای هر متر سی (</w:t>
      </w:r>
      <w:r w:rsidRPr="00350C06">
        <w:rPr>
          <w:rFonts w:ascii="iranyekan" w:eastAsia="Times New Roman" w:hAnsi="iranyekan" w:cs="Times New Roman"/>
          <w:color w:val="2C2D30"/>
          <w:kern w:val="0"/>
          <w:sz w:val="23"/>
          <w:szCs w:val="23"/>
          <w:rtl/>
          <w:lang w:bidi="fa-IR"/>
          <w14:ligatures w14:val="none"/>
        </w:rPr>
        <w:t xml:space="preserve">۳۰) </w:t>
      </w:r>
      <w:r w:rsidRPr="00350C06">
        <w:rPr>
          <w:rFonts w:ascii="iranyekan" w:eastAsia="Times New Roman" w:hAnsi="iranyekan" w:cs="Times New Roman"/>
          <w:color w:val="2C2D30"/>
          <w:kern w:val="0"/>
          <w:sz w:val="23"/>
          <w:szCs w:val="23"/>
          <w:rtl/>
          <w14:ligatures w14:val="none"/>
        </w:rPr>
        <w:t>درصد تعرفه این بند تعیین می‌شود؛</w:t>
      </w:r>
    </w:p>
    <w:p w14:paraId="385BFD46"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تبصره</w:t>
      </w:r>
      <w:r w:rsidRPr="00350C06">
        <w:rPr>
          <w:rFonts w:ascii="iranyekan" w:eastAsia="Times New Roman" w:hAnsi="iranyekan" w:cs="Times New Roman"/>
          <w:color w:val="2C2D30"/>
          <w:kern w:val="0"/>
          <w:sz w:val="23"/>
          <w:szCs w:val="23"/>
          <w:rtl/>
          <w:lang w:bidi="fa-IR"/>
          <w14:ligatures w14:val="none"/>
        </w:rPr>
        <w:t xml:space="preserve">۲: </w:t>
      </w:r>
      <w:r w:rsidRPr="00350C06">
        <w:rPr>
          <w:rFonts w:ascii="iranyekan" w:eastAsia="Times New Roman" w:hAnsi="iranyekan" w:cs="Times New Roman"/>
          <w:color w:val="2C2D30"/>
          <w:kern w:val="0"/>
          <w:sz w:val="23"/>
          <w:szCs w:val="23"/>
          <w:rtl/>
          <w14:ligatures w14:val="none"/>
        </w:rPr>
        <w:t>این مبلغ فقط یک بار از سوی کارور به ارایه‌کننده خدمت پرداخت می‌شود:</w:t>
      </w:r>
    </w:p>
    <w:p w14:paraId="3C104630"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 کارور باید درخواست خود برای دریافت اجازه عبور زمینی از راه‌ها را با جزییات اجرایی مربوط از جمله زمان و مکان اجرا به ارایه‌کننده خدمت ارایه و رونوشتی از آن را به سازمان ارسال کند؛</w:t>
      </w:r>
    </w:p>
    <w:p w14:paraId="57617E85"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 ارایه‌کننده خدمت باید ظرف حداکثر پانزده (</w:t>
      </w:r>
      <w:r w:rsidRPr="00350C06">
        <w:rPr>
          <w:rFonts w:ascii="iranyekan" w:eastAsia="Times New Roman" w:hAnsi="iranyekan" w:cs="Times New Roman"/>
          <w:color w:val="2C2D30"/>
          <w:kern w:val="0"/>
          <w:sz w:val="23"/>
          <w:szCs w:val="23"/>
          <w:rtl/>
          <w:lang w:bidi="fa-IR"/>
          <w14:ligatures w14:val="none"/>
        </w:rPr>
        <w:t xml:space="preserve">۱۵) </w:t>
      </w:r>
      <w:r w:rsidRPr="00350C06">
        <w:rPr>
          <w:rFonts w:ascii="iranyekan" w:eastAsia="Times New Roman" w:hAnsi="iranyekan" w:cs="Times New Roman"/>
          <w:color w:val="2C2D30"/>
          <w:kern w:val="0"/>
          <w:sz w:val="23"/>
          <w:szCs w:val="23"/>
          <w:rtl/>
          <w14:ligatures w14:val="none"/>
        </w:rPr>
        <w:t>روز از تاریخ دریافت تقاضای کارور معرفی شده از سوی سازمان، نسبت به صدور اجازه عبور زمینی از راه‌ها اقدام کند؛</w:t>
      </w:r>
    </w:p>
    <w:p w14:paraId="523FA169"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۴</w:t>
      </w:r>
      <w:r w:rsidRPr="00350C06">
        <w:rPr>
          <w:rFonts w:ascii="iranyekan" w:eastAsia="Times New Roman" w:hAnsi="iranyekan" w:cs="Times New Roman"/>
          <w:color w:val="2C2D30"/>
          <w:kern w:val="0"/>
          <w:sz w:val="23"/>
          <w:szCs w:val="23"/>
          <w:rtl/>
          <w14:ligatures w14:val="none"/>
        </w:rPr>
        <w:t xml:space="preserve">ـ کارور باید ظرف مدت چهار ماه از تاریخ دریافت اجازه عبور زمینی از راه‌ها، نسبت به اجرای طرح در چهارچوب برنامه زمانی اعلامی موضوع بند </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 xml:space="preserve"> اقدام و گزارش پیشرفت کار را به سازمان ارایه کند؛</w:t>
      </w:r>
    </w:p>
    <w:p w14:paraId="6E2024F7"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lastRenderedPageBreak/>
        <w:t>۲</w:t>
      </w:r>
      <w:r w:rsidRPr="00350C06">
        <w:rPr>
          <w:rFonts w:ascii="iranyekan" w:eastAsia="Times New Roman" w:hAnsi="iranyekan" w:cs="Times New Roman"/>
          <w:color w:val="2C2D30"/>
          <w:kern w:val="0"/>
          <w:sz w:val="23"/>
          <w:szCs w:val="23"/>
          <w:rtl/>
          <w14:ligatures w14:val="none"/>
        </w:rPr>
        <w:t xml:space="preserve">ـ </w:t>
      </w:r>
      <w:r w:rsidRPr="00350C06">
        <w:rPr>
          <w:rFonts w:ascii="iranyekan" w:eastAsia="Times New Roman" w:hAnsi="iranyekan" w:cs="Times New Roman"/>
          <w:color w:val="2C2D30"/>
          <w:kern w:val="0"/>
          <w:sz w:val="23"/>
          <w:szCs w:val="23"/>
          <w:rtl/>
          <w:lang w:bidi="fa-IR"/>
          <w14:ligatures w14:val="none"/>
        </w:rPr>
        <w:t>۵</w:t>
      </w:r>
      <w:r w:rsidRPr="00350C06">
        <w:rPr>
          <w:rFonts w:ascii="iranyekan" w:eastAsia="Times New Roman" w:hAnsi="iranyekan" w:cs="Times New Roman"/>
          <w:color w:val="2C2D30"/>
          <w:kern w:val="0"/>
          <w:sz w:val="23"/>
          <w:szCs w:val="23"/>
          <w:rtl/>
          <w14:ligatures w14:val="none"/>
        </w:rPr>
        <w:t xml:space="preserve"> ـ کارور در ایجاد شبکه‌های انتقال درون‌استانی موظف به رعایت قوانین و مقررات و اساسنامه شرکت ارتباطات زیرساخت است .</w:t>
      </w:r>
    </w:p>
    <w:p w14:paraId="6237002E"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14:ligatures w14:val="none"/>
        </w:rPr>
        <w:t>ماده</w:t>
      </w: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 شرایط عمومی</w:t>
      </w:r>
    </w:p>
    <w:p w14:paraId="730EC6A4"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۱</w:t>
      </w:r>
      <w:r w:rsidRPr="00350C06">
        <w:rPr>
          <w:rFonts w:ascii="iranyekan" w:eastAsia="Times New Roman" w:hAnsi="iranyekan" w:cs="Times New Roman"/>
          <w:color w:val="2C2D30"/>
          <w:kern w:val="0"/>
          <w:sz w:val="23"/>
          <w:szCs w:val="23"/>
          <w:rtl/>
          <w14:ligatures w14:val="none"/>
        </w:rPr>
        <w:t>ـ مالکیت تجهیزات فعال و غیرفعال ارتباطی منصوبه در چهارچوب اجازه عبور زمینی از راه‌ها، متعلق به کارور است؛</w:t>
      </w:r>
    </w:p>
    <w:p w14:paraId="18E76AEE"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۲</w:t>
      </w:r>
      <w:r w:rsidRPr="00350C06">
        <w:rPr>
          <w:rFonts w:ascii="iranyekan" w:eastAsia="Times New Roman" w:hAnsi="iranyekan" w:cs="Times New Roman"/>
          <w:color w:val="2C2D30"/>
          <w:kern w:val="0"/>
          <w:sz w:val="23"/>
          <w:szCs w:val="23"/>
          <w:rtl/>
          <w14:ligatures w14:val="none"/>
        </w:rPr>
        <w:t>ـ حفاری، نصب داکت/ساب‌‌داکت/میکروداکت و فیبرنوری و ترمیم مسیر حفاری شده راه‌ها توسط کارور انجام می‌شود، مگر اینکه طرفین به نحو دیگری توافق کنند؛</w:t>
      </w:r>
    </w:p>
    <w:p w14:paraId="00FDEEED"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 ارایه‌کننده خدمت و کارور می‌توانند در چهارچوب قوانین و مقررات مربوط، تمام یا بخشی از تعرفه اجازه عبور زمینی از راه‌ها را در ازای تامین بخشی از هزینه‌های هوشمندسازی خدمات ارایه‌کننده خدمت تهاتر کنند؛</w:t>
      </w:r>
    </w:p>
    <w:p w14:paraId="28C3B1FF"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ـ</w:t>
      </w:r>
      <w:r w:rsidRPr="00350C06">
        <w:rPr>
          <w:rFonts w:ascii="iranyekan" w:eastAsia="Times New Roman" w:hAnsi="iranyekan" w:cs="Times New Roman"/>
          <w:color w:val="2C2D30"/>
          <w:kern w:val="0"/>
          <w:sz w:val="23"/>
          <w:szCs w:val="23"/>
          <w:rtl/>
          <w:lang w:bidi="fa-IR"/>
          <w14:ligatures w14:val="none"/>
        </w:rPr>
        <w:t>۴</w:t>
      </w:r>
      <w:r w:rsidRPr="00350C06">
        <w:rPr>
          <w:rFonts w:ascii="iranyekan" w:eastAsia="Times New Roman" w:hAnsi="iranyekan" w:cs="Times New Roman"/>
          <w:color w:val="2C2D30"/>
          <w:kern w:val="0"/>
          <w:sz w:val="23"/>
          <w:szCs w:val="23"/>
          <w:rtl/>
          <w14:ligatures w14:val="none"/>
        </w:rPr>
        <w:t>ـ کارور حق ندارد اجازه عبور زمینی راه‌ها را تحت هیچ عنوان از قبیل بیع، صلح یا وکالت به دیگران واگذار کند؛</w:t>
      </w:r>
    </w:p>
    <w:p w14:paraId="76904A71" w14:textId="77777777" w:rsidR="00350C06" w:rsidRPr="00350C06" w:rsidRDefault="00350C06" w:rsidP="00350C06">
      <w:pPr>
        <w:shd w:val="clear" w:color="auto" w:fill="FFFFFF"/>
        <w:bidi/>
        <w:spacing w:after="100" w:afterAutospacing="1" w:line="435" w:lineRule="atLeast"/>
        <w:jc w:val="both"/>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color w:val="2C2D30"/>
          <w:kern w:val="0"/>
          <w:sz w:val="23"/>
          <w:szCs w:val="23"/>
          <w:rtl/>
          <w:lang w:bidi="fa-IR"/>
          <w14:ligatures w14:val="none"/>
        </w:rPr>
        <w:t>۳</w:t>
      </w:r>
      <w:r w:rsidRPr="00350C06">
        <w:rPr>
          <w:rFonts w:ascii="iranyekan" w:eastAsia="Times New Roman" w:hAnsi="iranyekan" w:cs="Times New Roman"/>
          <w:color w:val="2C2D30"/>
          <w:kern w:val="0"/>
          <w:sz w:val="23"/>
          <w:szCs w:val="23"/>
          <w:rtl/>
          <w14:ligatures w14:val="none"/>
        </w:rPr>
        <w:t xml:space="preserve">ـ </w:t>
      </w:r>
      <w:r w:rsidRPr="00350C06">
        <w:rPr>
          <w:rFonts w:ascii="iranyekan" w:eastAsia="Times New Roman" w:hAnsi="iranyekan" w:cs="Times New Roman"/>
          <w:color w:val="2C2D30"/>
          <w:kern w:val="0"/>
          <w:sz w:val="23"/>
          <w:szCs w:val="23"/>
          <w:rtl/>
          <w:lang w:bidi="fa-IR"/>
          <w14:ligatures w14:val="none"/>
        </w:rPr>
        <w:t>۵</w:t>
      </w:r>
      <w:r w:rsidRPr="00350C06">
        <w:rPr>
          <w:rFonts w:ascii="iranyekan" w:eastAsia="Times New Roman" w:hAnsi="iranyekan" w:cs="Times New Roman"/>
          <w:color w:val="2C2D30"/>
          <w:kern w:val="0"/>
          <w:sz w:val="23"/>
          <w:szCs w:val="23"/>
          <w:rtl/>
          <w14:ligatures w14:val="none"/>
        </w:rPr>
        <w:t xml:space="preserve"> ـ کارور موظف است امکان اشتراک‌گذاری زیرساخت شبکه و عمده‌فروشی ظرفیت ایجاد شده را برای سایر کاروران  بر اساس مصوبات کمیسیون فراهم نماید.</w:t>
      </w:r>
    </w:p>
    <w:p w14:paraId="1884CF58" w14:textId="77777777" w:rsidR="00350C06" w:rsidRPr="00350C06" w:rsidRDefault="00350C06" w:rsidP="00350C06">
      <w:pPr>
        <w:shd w:val="clear" w:color="auto" w:fill="FFFFFF"/>
        <w:spacing w:after="100" w:afterAutospacing="1" w:line="435" w:lineRule="atLeast"/>
        <w:rPr>
          <w:rFonts w:ascii="iranyekan" w:eastAsia="Times New Roman" w:hAnsi="iranyekan" w:cs="Times New Roman"/>
          <w:color w:val="2C2D30"/>
          <w:kern w:val="0"/>
          <w:sz w:val="23"/>
          <w:szCs w:val="23"/>
          <w:rtl/>
          <w14:ligatures w14:val="none"/>
        </w:rPr>
      </w:pPr>
      <w:r w:rsidRPr="00350C06">
        <w:rPr>
          <w:rFonts w:ascii="iranyekan" w:eastAsia="Times New Roman" w:hAnsi="iranyekan" w:cs="Times New Roman"/>
          <w:b/>
          <w:bCs/>
          <w:color w:val="2C2D30"/>
          <w:kern w:val="0"/>
          <w:sz w:val="23"/>
          <w:szCs w:val="23"/>
          <w:rtl/>
          <w14:ligatures w14:val="none"/>
        </w:rPr>
        <w:t>دبیر کمیسیون تنظیم مقررات ارتباطات ـ امیر لاجوردی</w:t>
      </w:r>
    </w:p>
    <w:p w14:paraId="710BFFE3" w14:textId="77777777" w:rsidR="00C134FC" w:rsidRDefault="00C134FC" w:rsidP="00350C06">
      <w:pPr>
        <w:jc w:val="right"/>
      </w:pPr>
    </w:p>
    <w:sectPr w:rsidR="00C13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yek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B4D8A"/>
    <w:multiLevelType w:val="multilevel"/>
    <w:tmpl w:val="B890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03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06"/>
    <w:rsid w:val="000D0152"/>
    <w:rsid w:val="00350C06"/>
    <w:rsid w:val="00604560"/>
    <w:rsid w:val="00C134FC"/>
    <w:rsid w:val="00CA5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D3942"/>
  <w15:chartTrackingRefBased/>
  <w15:docId w15:val="{F03543BE-0CE2-4F42-ACD0-833CBFE8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C06"/>
    <w:rPr>
      <w:rFonts w:eastAsiaTheme="majorEastAsia" w:cstheme="majorBidi"/>
      <w:color w:val="272727" w:themeColor="text1" w:themeTint="D8"/>
    </w:rPr>
  </w:style>
  <w:style w:type="paragraph" w:styleId="Title">
    <w:name w:val="Title"/>
    <w:basedOn w:val="Normal"/>
    <w:next w:val="Normal"/>
    <w:link w:val="TitleChar"/>
    <w:uiPriority w:val="10"/>
    <w:qFormat/>
    <w:rsid w:val="0035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C06"/>
    <w:pPr>
      <w:spacing w:before="160"/>
      <w:jc w:val="center"/>
    </w:pPr>
    <w:rPr>
      <w:i/>
      <w:iCs/>
      <w:color w:val="404040" w:themeColor="text1" w:themeTint="BF"/>
    </w:rPr>
  </w:style>
  <w:style w:type="character" w:customStyle="1" w:styleId="QuoteChar">
    <w:name w:val="Quote Char"/>
    <w:basedOn w:val="DefaultParagraphFont"/>
    <w:link w:val="Quote"/>
    <w:uiPriority w:val="29"/>
    <w:rsid w:val="00350C06"/>
    <w:rPr>
      <w:i/>
      <w:iCs/>
      <w:color w:val="404040" w:themeColor="text1" w:themeTint="BF"/>
    </w:rPr>
  </w:style>
  <w:style w:type="paragraph" w:styleId="ListParagraph">
    <w:name w:val="List Paragraph"/>
    <w:basedOn w:val="Normal"/>
    <w:uiPriority w:val="34"/>
    <w:qFormat/>
    <w:rsid w:val="00350C06"/>
    <w:pPr>
      <w:ind w:left="720"/>
      <w:contextualSpacing/>
    </w:pPr>
  </w:style>
  <w:style w:type="character" w:styleId="IntenseEmphasis">
    <w:name w:val="Intense Emphasis"/>
    <w:basedOn w:val="DefaultParagraphFont"/>
    <w:uiPriority w:val="21"/>
    <w:qFormat/>
    <w:rsid w:val="00350C06"/>
    <w:rPr>
      <w:i/>
      <w:iCs/>
      <w:color w:val="2F5496" w:themeColor="accent1" w:themeShade="BF"/>
    </w:rPr>
  </w:style>
  <w:style w:type="paragraph" w:styleId="IntenseQuote">
    <w:name w:val="Intense Quote"/>
    <w:basedOn w:val="Normal"/>
    <w:next w:val="Normal"/>
    <w:link w:val="IntenseQuoteChar"/>
    <w:uiPriority w:val="30"/>
    <w:qFormat/>
    <w:rsid w:val="00350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C06"/>
    <w:rPr>
      <w:i/>
      <w:iCs/>
      <w:color w:val="2F5496" w:themeColor="accent1" w:themeShade="BF"/>
    </w:rPr>
  </w:style>
  <w:style w:type="character" w:styleId="IntenseReference">
    <w:name w:val="Intense Reference"/>
    <w:basedOn w:val="DefaultParagraphFont"/>
    <w:uiPriority w:val="32"/>
    <w:qFormat/>
    <w:rsid w:val="00350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Haniyeh Aghamiri</dc:creator>
  <cp:keywords/>
  <dc:description/>
  <cp:lastModifiedBy>Haniyeh Aghamiri</cp:lastModifiedBy>
  <cp:revision>1</cp:revision>
  <dcterms:created xsi:type="dcterms:W3CDTF">2025-11-09T07:51:00Z</dcterms:created>
  <dcterms:modified xsi:type="dcterms:W3CDTF">2025-11-09T07:52:00Z</dcterms:modified>
</cp:coreProperties>
</file>